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-1149985</wp:posOffset>
                </wp:positionV>
                <wp:extent cx="7560310" cy="5122545"/>
                <wp:effectExtent l="0" t="0" r="0" b="0"/>
                <wp:wrapNone/>
                <wp:docPr id="1" name="图片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7560310" cy="5122545"/>
                        </a:xfrm>
                        <a:prstGeom prst="rect">
                          <a:avLst/>
                        </a:prstGeom>
                        <a:noFill/>
                        <a:ln>
                          <a:noFill/>
                        </a:ln>
                      </wps:spPr>
                      <wps:bodyPr wrap="square" upright="true"/>
                    </wps:wsp>
                  </a:graphicData>
                </a:graphic>
              </wp:anchor>
            </w:drawing>
          </mc:Choice>
          <mc:Fallback>
            <w:pict>
              <v:rect id="图片 2" o:spid="_x0000_s1026" o:spt="1" style="position:absolute;left:0pt;margin-top:-90.55pt;height:403.35pt;width:595.3pt;mso-position-horizontal:center;z-index:251658240;mso-width-relative:page;mso-height-relative:page;" filled="f" stroked="f" coordsize="21600,21600" o:gfxdata="UEsFBgAAAAAAAAAAAAAAAAAAAAAAAFBLAwQKAAAAAACHTuJAAAAAAAAAAAAAAAAABAAAAGRycy9Q&#10;SwMEFAAAAAgAh07iQHvPK/baAAAACgEAAA8AAABkcnMvZG93bnJldi54bWxNj0FLw0AUhO+C/2F5&#10;ghdpN1sw1JiXHgpiEaGYas/b7DMJZt+m2W1S/73bUz0OM8x8k6/OthMjDb51jKDmCQjiypmWa4TP&#10;3ctsCcIHzUZ3jgnhlzysitubXGfGTfxBYxlqEUvYZxqhCaHPpPRVQ1b7ueuJo/ftBqtDlEMtzaCn&#10;WG47uUiSVFrdclxodE/rhqqf8mQRpmo77nfvr3L7sN84Pm6O6/LrDfH+TiXPIAKdwzUMF/yIDkVk&#10;OrgTGy86hHgkIMzUUikQF189JSmIA0K6eExBFrn8f6H4A1BLAwQUAAAACACHTuJAKgRXSaMBAAAp&#10;AwAADgAAAGRycy9lMm9Eb2MueG1srVJRbhMxEP1H4g6W/8luFlLQKpsKUZWfCioVDuB67V2LtcfM&#10;ONnkBIgzcBdug7gGYzcNtPwhfizPePzmvTezPt/7SewMkoPQyeWilsIEDb0LQyc/frh89koKSir0&#10;aoJgOnkwJM83T5+s59iaBkaYeoOCQQK1c+zkmFJsq4r0aLyiBUQT+NECepU4xKHqUc2M7qeqqeuz&#10;agbsI4I2RJy9uHuUm4JvrdHpvbVkkpg6ydxSObGct/msNmvVDqji6PSRhvoHFl65wE1PUBcqKbFF&#10;9xeUdxqBwKaFBl+BtU6booHVLOtHam5GFU3RwuZQPNlE/w9Wv9tdo3A9z06KoDyP6Me37z+/fhFN&#10;9maO1HLJTbzGrI7iFehPJAK8GVUYzGuK7HAnE25NLq8e1OeAjj/3Fn1GYMViX+w/nOw3+yQ0J1+u&#10;zurnS56S5rfVsmlWL1YFVbX33yNSemvAi3zpJHL3YrvaXVHKBFR7X5K7Bbh001RmPIUHCS7MmUL4&#10;jmNmewv9ge2YeR86SZ+3Co0U24huGB+r5HmUdsfdyQP/My7Qvzd8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7zyv22gAAAAoBAAAPAAAAAAAAAAEAIAAAADgAAABkcnMvZG93bnJldi54bWxQSwEC&#10;FAAUAAAACACHTuJAKgRXSaMBAAApAwAADgAAAAAAAAABACAAAAA/AQAAZHJzL2Uyb0RvYy54bWxQ&#10;SwUGAAAAAAYABgBZAQAAVAUAAAAA&#10;">
                <v:fill on="f" focussize="0,0"/>
                <v:stroke on="f"/>
                <v:imagedata o:title=""/>
                <o:lock v:ext="edit" aspectratio="t"/>
              </v:rect>
            </w:pict>
          </mc:Fallback>
        </mc:AlternateContent>
      </w:r>
    </w:p>
    <w:p>
      <w:pPr>
        <w:spacing w:line="560" w:lineRule="exact"/>
        <w:jc w:val="center"/>
        <w:rPr>
          <w:rFonts w:hint="default" w:ascii="Times New Roman" w:hAnsi="Times New Roman" w:eastAsia="方正小标宋简体" w:cs="Times New Roman"/>
          <w:sz w:val="44"/>
          <w:szCs w:val="44"/>
        </w:rPr>
      </w:pPr>
      <w:bookmarkStart w:id="0" w:name="F_GongWenZW"/>
      <w:r>
        <w:rPr>
          <w:rFonts w:hint="default" w:ascii="Times New Roman" w:hAnsi="Times New Roman" w:eastAsia="方正小标宋简体" w:cs="Times New Roman"/>
          <w:sz w:val="44"/>
          <w:szCs w:val="44"/>
        </w:rPr>
        <w:t>征收集体土地补偿安置协议书示范文本</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（试行）</w:t>
      </w:r>
    </w:p>
    <w:p>
      <w:pPr>
        <w:spacing w:line="560" w:lineRule="exact"/>
        <w:ind w:firstLine="642" w:firstLineChars="200"/>
        <w:jc w:val="center"/>
        <w:rPr>
          <w:rFonts w:hint="default" w:ascii="Times New Roman" w:hAnsi="Times New Roman" w:eastAsia="仿宋_GB2312" w:cs="Times New Roman"/>
          <w:b/>
          <w:sz w:val="32"/>
          <w:szCs w:val="32"/>
        </w:rPr>
      </w:pPr>
    </w:p>
    <w:p>
      <w:pPr>
        <w:spacing w:line="560" w:lineRule="exact"/>
        <w:ind w:firstLine="642"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b/>
          <w:sz w:val="32"/>
          <w:szCs w:val="32"/>
        </w:rPr>
        <w:t>甲方</w:t>
      </w:r>
      <w:r>
        <w:rPr>
          <w:rFonts w:hint="default" w:ascii="Times New Roman" w:hAnsi="Times New Roman" w:eastAsia="仿宋_GB2312" w:cs="Times New Roman"/>
          <w:sz w:val="32"/>
          <w:szCs w:val="32"/>
        </w:rPr>
        <w:t>（县级以上人民政府或经法定授权的单位）：</w:t>
      </w:r>
      <w:r>
        <w:rPr>
          <w:rFonts w:hint="default" w:ascii="Times New Roman" w:hAnsi="Times New Roman" w:eastAsia="仿宋_GB2312" w:cs="Times New Roman"/>
          <w:sz w:val="32"/>
          <w:szCs w:val="32"/>
          <w:u w:val="single"/>
        </w:rPr>
        <w:t xml:space="preserve">                                  </w:t>
      </w:r>
    </w:p>
    <w:p>
      <w:pPr>
        <w:spacing w:line="560" w:lineRule="exact"/>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560" w:lineRule="exact"/>
        <w:ind w:firstLine="642"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b/>
          <w:sz w:val="32"/>
          <w:szCs w:val="32"/>
        </w:rPr>
        <w:t>乙方</w:t>
      </w:r>
      <w:r>
        <w:rPr>
          <w:rFonts w:hint="default" w:ascii="Times New Roman" w:hAnsi="Times New Roman" w:eastAsia="仿宋_GB2312" w:cs="Times New Roman"/>
          <w:sz w:val="32"/>
          <w:szCs w:val="32"/>
        </w:rPr>
        <w:t>（被征收土地村民〔居民〕委员会或村民〔居民〕小组）：</w:t>
      </w:r>
      <w:r>
        <w:rPr>
          <w:rFonts w:hint="default" w:ascii="Times New Roman" w:hAnsi="Times New Roman" w:eastAsia="仿宋_GB2312" w:cs="Times New Roman"/>
          <w:sz w:val="32"/>
          <w:szCs w:val="32"/>
          <w:u w:val="single"/>
        </w:rPr>
        <w:t xml:space="preserve">                                                </w:t>
      </w:r>
    </w:p>
    <w:p>
      <w:pPr>
        <w:spacing w:line="560" w:lineRule="exact"/>
        <w:ind w:firstLine="640" w:firstLineChars="200"/>
        <w:jc w:val="left"/>
        <w:rPr>
          <w:rFonts w:hint="default" w:ascii="Times New Roman" w:hAnsi="Times New Roman" w:eastAsia="仿宋_GB2312" w:cs="Times New Roman"/>
          <w:sz w:val="32"/>
          <w:szCs w:val="32"/>
          <w:u w:val="single"/>
        </w:rPr>
      </w:pPr>
      <w:bookmarkStart w:id="1" w:name="_GoBack"/>
      <w:r>
        <w:rPr>
          <w:rFonts w:hint="default" w:ascii="Times New Roman" w:hAnsi="Times New Roman" w:eastAsia="仿宋_GB2312" w:cs="Times New Roman"/>
          <w:sz w:val="32"/>
          <w:szCs w:val="32"/>
          <w:u w:val="single"/>
        </w:rPr>
        <w:t xml:space="preserve">                                                  </w:t>
      </w:r>
    </w:p>
    <w:bookmarkEnd w:id="1"/>
    <w:p>
      <w:pPr>
        <w:spacing w:line="560" w:lineRule="exact"/>
        <w:ind w:left="210" w:leftChars="100"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项目建设的需要，根据《中华人民共和国民法典》《中华人民共和国土地管理法》《中华人民共和国土地管理法实施条例》等法律法规，以及自治区和本地有关文件规定，</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人民政府现需征收属于乙方的集体土地。经双方协商一致，就征收集体土地及其补偿安置有关事宜达成如下协议：</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一、征收土地位置及范围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人民政府征收乙方的集体土地坐落</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，四至界址范围按有资质的测绘机构实地测量结果为准，详见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（图幅号：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二、征收土地的地类及面积</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甲方需征收乙方集体土地面积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亩，其中农用地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亩（永久基本农田面积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亩），建设用地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亩，未利用地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三、征地补偿费用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根据《中华人民共和国土地管理法》《中华人民共和国土地管理法实施条例》等法律法规、本地征地区片综合地价标准和本项目的征地补偿安置方案，甲方应向乙方支付的征地补偿费用如下：</w:t>
      </w:r>
    </w:p>
    <w:p>
      <w:pPr>
        <w:spacing w:line="560" w:lineRule="exact"/>
        <w:ind w:firstLine="642" w:firstLineChars="200"/>
        <w:jc w:val="lef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（一）土地补偿费。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1.农用地</w:t>
      </w:r>
      <w:r>
        <w:rPr>
          <w:rFonts w:hint="default" w:ascii="Times New Roman" w:hAnsi="Times New Roman" w:eastAsia="仿宋_GB2312" w:cs="Times New Roman"/>
          <w:sz w:val="32"/>
          <w:szCs w:val="32"/>
          <w:lang w:val="en"/>
        </w:rPr>
        <w:t>（不含永久基本农田）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永久基本农田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3.建设用地：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4.未利用地：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元（大写：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560" w:lineRule="exact"/>
        <w:ind w:firstLine="642" w:firstLineChars="200"/>
        <w:jc w:val="left"/>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（二）安置补助费：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b/>
          <w:sz w:val="32"/>
          <w:szCs w:val="32"/>
        </w:rPr>
        <w:t>等其他补偿费：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以上补偿费用合计为：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元（大写：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numPr>
          <w:ilvl w:val="0"/>
          <w:numId w:val="1"/>
        </w:num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农村村民（居民）住宅、其他地上附着物和青苗征收补偿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由甲方与相关权利人另行签订协议确定。</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五、支付方式</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甲方应在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之日起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日内将本协议约定的补偿费用支付至甲、乙双方认可的以下银行账户：</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开户名：</w:t>
      </w:r>
      <w:r>
        <w:rPr>
          <w:rFonts w:hint="default" w:ascii="Times New Roman" w:hAnsi="Times New Roman" w:eastAsia="仿宋_GB2312" w:cs="Times New Roman"/>
          <w:sz w:val="32"/>
          <w:szCs w:val="32"/>
          <w:u w:val="single"/>
        </w:rPr>
        <w:t xml:space="preserve">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w:t>
      </w:r>
      <w:r>
        <w:rPr>
          <w:rFonts w:hint="default" w:ascii="Times New Roman" w:hAnsi="Times New Roman" w:eastAsia="仿宋_GB2312" w:cs="Times New Roman"/>
          <w:sz w:val="32"/>
          <w:szCs w:val="32"/>
          <w:u w:val="single"/>
        </w:rPr>
        <w:t xml:space="preserve">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账号：</w:t>
      </w:r>
      <w:r>
        <w:rPr>
          <w:rFonts w:hint="default" w:ascii="Times New Roman" w:hAnsi="Times New Roman" w:eastAsia="仿宋_GB2312" w:cs="Times New Roman"/>
          <w:sz w:val="32"/>
          <w:szCs w:val="32"/>
          <w:u w:val="single"/>
        </w:rPr>
        <w:t xml:space="preserve">                              </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六、安置途径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如存在其他安置方式的，由甲方根据本地安置政策与乙方另行签订补充协议。</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七、养老保险</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为保障被征地农民今后的长远生计，被征地农民参加基本养老保险享受养老保险补贴，享受补贴的条件、标准、方式等按自治区和本地有关政策执行。</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人民政府要按照国家有关法律法规，足额落实被征地农民基本养老保险补贴资金。</w:t>
      </w:r>
      <w:r>
        <w:rPr>
          <w:rFonts w:hint="default" w:ascii="Times New Roman" w:hAnsi="Times New Roman" w:eastAsia="仿宋_GB2312" w:cs="Times New Roman"/>
          <w:sz w:val="32"/>
          <w:szCs w:val="32"/>
        </w:rPr>
        <w:t>乙方应积极配合甲方做好被征地农民身份认定、信息采集、统计审核和组织参保等相关协调工作。</w:t>
      </w:r>
    </w:p>
    <w:p>
      <w:pPr>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八、权利义务</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（一）甲方应按本协议约定及时向乙方支付所有补偿费用。</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（二）在甲方按约定方式足额支付补偿费用后，乙方须在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___</w:t>
      </w:r>
      <w:r>
        <w:rPr>
          <w:rFonts w:hint="default" w:ascii="Times New Roman" w:hAnsi="Times New Roman" w:eastAsia="仿宋_GB2312" w:cs="Times New Roman"/>
          <w:sz w:val="32"/>
          <w:szCs w:val="32"/>
        </w:rPr>
        <w:t>日内无条件将上述土地及相关权属证件原件移交给甲方并办理相关不动产权属变更或注销手续；乙方未在约定期限内交付土地或相关权属证件原件，经甲方依法催告后仍不履行的，甲方有权作出书面决定并依法申请人民法院强制执行。</w:t>
      </w:r>
    </w:p>
    <w:p>
      <w:pPr>
        <w:spacing w:line="560" w:lineRule="exact"/>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（三）其他：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九、违约责任</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本协议签订后，双方应自觉遵守，任何一方未按本协议约定履行义务的，将按有关法律法规承担相应法律责任。</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（一）甲方不按规定期限足额支付补偿费用的，每延迟1日，甲方应按照拖欠金额的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向乙方支付违约金。</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（二）因不可抗力导致无法执行本协议的，根据不可抗力的影响，部分或者全部免除违约方的违约责任。</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十、争议解决条款</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本协议履行过程中发生争议，由双方协商处理，协商不成的，乙方可以通过申请行政复议或提起行政诉讼的途径解决。</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十一、其他条款</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（一）本协议一式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份，甲方执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份，乙方执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份，具有同等法律效力。</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（二）其他：</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60" w:lineRule="exact"/>
        <w:ind w:firstLine="648"/>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甲方（盖章）：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法定代表人（签字）：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经办人（签字）：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乙方（盖章）：</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法定代表人（或村民</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居民</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 xml:space="preserve">小组组长）（签字）：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村民（居民）代表（签字）：</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见证单位（盖章）：</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见证人（签字）：</w:t>
      </w: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rPr>
        <w:sectPr>
          <w:footerReference r:id="rId3" w:type="default"/>
          <w:pgSz w:w="11906" w:h="16838"/>
          <w:pgMar w:top="1814" w:right="1474" w:bottom="1984" w:left="1587" w:header="851" w:footer="1587" w:gutter="0"/>
          <w:cols w:space="720" w:num="1"/>
          <w:docGrid w:type="lines" w:linePitch="315" w:charSpace="0"/>
        </w:sectPr>
      </w:pPr>
      <w:r>
        <w:rPr>
          <w:rFonts w:hint="default" w:ascii="Times New Roman" w:hAnsi="Times New Roman" w:eastAsia="仿宋_GB2312" w:cs="Times New Roman"/>
          <w:sz w:val="32"/>
          <w:szCs w:val="32"/>
        </w:rPr>
        <w:t xml:space="preserve">签订地点：         签订时间：    年   月   日 </w:t>
      </w:r>
    </w:p>
    <w:bookmarkEnd w:id="0"/>
    <w:p/>
    <w:sectPr>
      <w:footerReference r:id="rId4" w:type="default"/>
      <w:footerReference r:id="rId5" w:type="even"/>
      <w:pgSz w:w="11906" w:h="16838"/>
      <w:pgMar w:top="1814" w:right="1474" w:bottom="1985" w:left="1588" w:header="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ind w:left="210" w:leftChars="100" w:right="210" w:rightChars="100"/>
                            <w:rPr>
                              <w:rStyle w:val="5"/>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6</w:t>
                          </w:r>
                          <w:r>
                            <w:rPr>
                              <w:rStyle w:val="5"/>
                              <w:sz w:val="28"/>
                              <w:szCs w:val="28"/>
                            </w:rPr>
                            <w:fldChar w:fldCharType="end"/>
                          </w:r>
                          <w:r>
                            <w:rPr>
                              <w:rStyle w:val="5"/>
                              <w:rFonts w:hint="eastAsia"/>
                              <w:sz w:val="28"/>
                              <w:szCs w:val="28"/>
                            </w:rPr>
                            <w:t xml:space="preserve"> —</w:t>
                          </w:r>
                        </w:p>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2"/>
                      <w:ind w:left="210" w:leftChars="100" w:right="210" w:rightChars="100"/>
                      <w:rPr>
                        <w:rStyle w:val="5"/>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6</w:t>
                    </w:r>
                    <w:r>
                      <w:rPr>
                        <w:rStyle w:val="5"/>
                        <w:sz w:val="28"/>
                        <w:szCs w:val="28"/>
                      </w:rPr>
                      <w:fldChar w:fldCharType="end"/>
                    </w:r>
                    <w:r>
                      <w:rPr>
                        <w:rStyle w:val="5"/>
                        <w:rFonts w:hint="eastAsia"/>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D5DF1"/>
    <w:rsid w:val="3EAB0813"/>
    <w:rsid w:val="EFFFCE63"/>
    <w:rsid w:val="FFFB9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蒙盈盈</cp:lastModifiedBy>
  <dcterms:modified xsi:type="dcterms:W3CDTF">2023-12-05T11:04:37Z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